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33DB2" w14:textId="6B5E5305" w:rsidR="00CA4BDA" w:rsidRPr="00AA493B" w:rsidRDefault="00C034E7" w:rsidP="00AA493B">
      <w:pPr>
        <w:pStyle w:val="berschrift1"/>
      </w:pPr>
      <w:r w:rsidRPr="00AA493B">
        <w:t xml:space="preserve">Anleitung </w:t>
      </w:r>
      <w:r w:rsidR="002F32A4">
        <w:t>zur</w:t>
      </w:r>
      <w:r w:rsidRPr="00AA493B">
        <w:t xml:space="preserve"> </w:t>
      </w:r>
      <w:r w:rsidR="003A6EB7" w:rsidRPr="00AA493B">
        <w:t>Organisation</w:t>
      </w:r>
      <w:r w:rsidR="003352C8" w:rsidRPr="00AA493B">
        <w:t xml:space="preserve"> („Proctoring“) </w:t>
      </w:r>
      <w:r w:rsidRPr="00AA493B">
        <w:t xml:space="preserve">einer deutschen </w:t>
      </w:r>
      <w:r w:rsidR="003352C8" w:rsidRPr="00AA493B">
        <w:t>IAAP</w:t>
      </w:r>
      <w:r w:rsidRPr="00AA493B">
        <w:t>-Zertifikatsprüfung</w:t>
      </w:r>
    </w:p>
    <w:p w14:paraId="21908171" w14:textId="6F0B69E7" w:rsidR="00C034E7" w:rsidRDefault="00C034E7">
      <w:pPr>
        <w:rPr>
          <w:i/>
        </w:rPr>
      </w:pPr>
      <w:bookmarkStart w:id="0" w:name="_Hlk140739536"/>
      <w:r w:rsidRPr="00C034E7">
        <w:rPr>
          <w:i/>
        </w:rPr>
        <w:t xml:space="preserve">Gottfried Zimmermann </w:t>
      </w:r>
      <w:r w:rsidRPr="00C034E7">
        <w:rPr>
          <w:i/>
        </w:rPr>
        <w:sym w:font="Wingdings" w:char="F09F"/>
      </w:r>
      <w:r w:rsidRPr="00C034E7">
        <w:rPr>
          <w:i/>
        </w:rPr>
        <w:t xml:space="preserve"> Version </w:t>
      </w:r>
      <w:r w:rsidR="003352C8">
        <w:rPr>
          <w:i/>
        </w:rPr>
        <w:t>1</w:t>
      </w:r>
      <w:r w:rsidRPr="00C034E7">
        <w:rPr>
          <w:i/>
        </w:rPr>
        <w:t xml:space="preserve"> </w:t>
      </w:r>
      <w:r w:rsidRPr="00C034E7">
        <w:rPr>
          <w:i/>
        </w:rPr>
        <w:sym w:font="Wingdings" w:char="F09F"/>
      </w:r>
      <w:r w:rsidRPr="00C034E7">
        <w:rPr>
          <w:i/>
        </w:rPr>
        <w:t xml:space="preserve"> 202</w:t>
      </w:r>
      <w:bookmarkEnd w:id="0"/>
      <w:r w:rsidR="003352C8">
        <w:rPr>
          <w:i/>
        </w:rPr>
        <w:t>4-02-08</w:t>
      </w:r>
    </w:p>
    <w:p w14:paraId="7C7DD9C6" w14:textId="3EF5652F" w:rsidR="003352C8" w:rsidRDefault="003352C8">
      <w:r>
        <w:t>IAAP-Zertifikatsprüfungen können in den folgenden Weisen durchgeführt werden</w:t>
      </w:r>
      <w:r w:rsidR="0070210E">
        <w:t xml:space="preserve"> – vgl. </w:t>
      </w:r>
      <w:hyperlink r:id="rId7" w:history="1">
        <w:proofErr w:type="spellStart"/>
        <w:r w:rsidR="0070210E" w:rsidRPr="0070210E">
          <w:rPr>
            <w:rStyle w:val="Hyperlink"/>
          </w:rPr>
          <w:t>Exam</w:t>
        </w:r>
        <w:proofErr w:type="spellEnd"/>
        <w:r w:rsidR="0070210E" w:rsidRPr="0070210E">
          <w:rPr>
            <w:rStyle w:val="Hyperlink"/>
          </w:rPr>
          <w:t xml:space="preserve"> Locations and Options | </w:t>
        </w:r>
        <w:r w:rsidR="0070210E">
          <w:rPr>
            <w:rStyle w:val="Hyperlink"/>
          </w:rPr>
          <w:t>IAAP</w:t>
        </w:r>
      </w:hyperlink>
      <w:r w:rsidR="0070210E">
        <w:t>)</w:t>
      </w:r>
      <w:r>
        <w:t xml:space="preserve">: </w:t>
      </w:r>
    </w:p>
    <w:p w14:paraId="1C1FECB3" w14:textId="4BBA6FE3" w:rsidR="003352C8" w:rsidRPr="003352C8" w:rsidRDefault="003352C8" w:rsidP="003352C8">
      <w:pPr>
        <w:pStyle w:val="Listenabsatz"/>
        <w:numPr>
          <w:ilvl w:val="0"/>
          <w:numId w:val="3"/>
        </w:numPr>
        <w:rPr>
          <w:lang w:val="en-US"/>
        </w:rPr>
      </w:pPr>
      <w:r>
        <w:t xml:space="preserve">Online: </w:t>
      </w:r>
      <w:hyperlink r:id="rId8" w:anchor="Exam-Locations1" w:history="1">
        <w:r w:rsidRPr="003352C8">
          <w:rPr>
            <w:rStyle w:val="Hyperlink"/>
            <w:lang w:val="en-US"/>
          </w:rPr>
          <w:t>Kryterion Online Remote Proctoring</w:t>
        </w:r>
      </w:hyperlink>
    </w:p>
    <w:p w14:paraId="0FC856BD" w14:textId="7E815899" w:rsidR="003352C8" w:rsidRDefault="003352C8" w:rsidP="003352C8">
      <w:pPr>
        <w:pStyle w:val="Listenabsatz"/>
        <w:numPr>
          <w:ilvl w:val="0"/>
          <w:numId w:val="3"/>
        </w:numPr>
      </w:pPr>
      <w:r>
        <w:t xml:space="preserve">Vor Ort: </w:t>
      </w:r>
      <w:hyperlink r:id="rId9" w:anchor="Exam-Locations1" w:history="1">
        <w:r w:rsidRPr="003352C8">
          <w:rPr>
            <w:rStyle w:val="Hyperlink"/>
          </w:rPr>
          <w:t>Kryterion Testzentrum</w:t>
        </w:r>
      </w:hyperlink>
      <w:r>
        <w:t xml:space="preserve"> (Suche nach Testzentren: </w:t>
      </w:r>
      <w:hyperlink r:id="rId10" w:history="1">
        <w:proofErr w:type="spellStart"/>
        <w:r w:rsidRPr="003352C8">
          <w:rPr>
            <w:rStyle w:val="Hyperlink"/>
          </w:rPr>
          <w:t>kryterion</w:t>
        </w:r>
        <w:proofErr w:type="spellEnd"/>
        <w:r w:rsidRPr="003352C8">
          <w:rPr>
            <w:rStyle w:val="Hyperlink"/>
          </w:rPr>
          <w:t xml:space="preserve"> &gt; Find a Test Center</w:t>
        </w:r>
      </w:hyperlink>
      <w:r>
        <w:t>)</w:t>
      </w:r>
    </w:p>
    <w:p w14:paraId="13B43D9F" w14:textId="2C114EE1" w:rsidR="003352C8" w:rsidRDefault="003352C8" w:rsidP="003352C8">
      <w:pPr>
        <w:pStyle w:val="Listenabsatz"/>
        <w:numPr>
          <w:ilvl w:val="0"/>
          <w:numId w:val="3"/>
        </w:numPr>
      </w:pPr>
      <w:r>
        <w:t xml:space="preserve">Daheim: </w:t>
      </w:r>
      <w:hyperlink r:id="rId11" w:anchor="Exam-Locations2" w:history="1">
        <w:r w:rsidRPr="003352C8">
          <w:rPr>
            <w:rStyle w:val="Hyperlink"/>
            <w:lang w:val="en-US"/>
          </w:rPr>
          <w:t>Privately Proctored Exams</w:t>
        </w:r>
      </w:hyperlink>
      <w:r>
        <w:t xml:space="preserve"> (IAAP-Personal überwacht per Webkamera und Screensharing)</w:t>
      </w:r>
    </w:p>
    <w:p w14:paraId="5C9F0A8E" w14:textId="1D616AB2" w:rsidR="003352C8" w:rsidRDefault="003352C8" w:rsidP="00CE6D93">
      <w:pPr>
        <w:pStyle w:val="Listenabsatz"/>
        <w:numPr>
          <w:ilvl w:val="0"/>
          <w:numId w:val="3"/>
        </w:numPr>
      </w:pPr>
      <w:r w:rsidRPr="00432D1D">
        <w:rPr>
          <w:b/>
        </w:rPr>
        <w:t xml:space="preserve">Vor Ort bei einer Organisation: </w:t>
      </w:r>
      <w:hyperlink r:id="rId12" w:anchor="Exam-Locations2" w:history="1">
        <w:r w:rsidRPr="00432D1D">
          <w:rPr>
            <w:rStyle w:val="Hyperlink"/>
            <w:b/>
            <w:lang w:val="en-US"/>
          </w:rPr>
          <w:t>Hosted Exam Events</w:t>
        </w:r>
      </w:hyperlink>
      <w:r>
        <w:t xml:space="preserve"> (</w:t>
      </w:r>
      <w:r w:rsidR="009E2AF8">
        <w:t xml:space="preserve">eine Organisation stellt Raum und Überwachungsperson </w:t>
      </w:r>
      <w:r w:rsidR="00A90D56">
        <w:t xml:space="preserve">für eine Gruppe von Prüflingen </w:t>
      </w:r>
      <w:r w:rsidR="009E2AF8">
        <w:t>zur Verfügung)</w:t>
      </w:r>
    </w:p>
    <w:p w14:paraId="5234BA3B" w14:textId="1F7797FC" w:rsidR="003A70E0" w:rsidRDefault="00C034E7">
      <w:r>
        <w:t xml:space="preserve">Diese Anleitung </w:t>
      </w:r>
      <w:r w:rsidR="009E2AF8">
        <w:t xml:space="preserve">bezieht sich auf die Option d) – Vor Ort bei einer Organisation. Sie </w:t>
      </w:r>
      <w:r>
        <w:t xml:space="preserve">erklärt Schritt für Schritt, wie man </w:t>
      </w:r>
      <w:r w:rsidR="009E2AF8">
        <w:t xml:space="preserve">als Organisation </w:t>
      </w:r>
      <w:r>
        <w:t xml:space="preserve">eine deutsche IAAP-Prüfung </w:t>
      </w:r>
      <w:r w:rsidR="009E2AF8">
        <w:t xml:space="preserve">organisiert und durchführt. </w:t>
      </w:r>
      <w:r>
        <w:t xml:space="preserve">Die </w:t>
      </w:r>
      <w:r w:rsidR="009E2AF8">
        <w:t>Details</w:t>
      </w:r>
      <w:r>
        <w:t xml:space="preserve"> können sich </w:t>
      </w:r>
      <w:r w:rsidR="009E2AF8">
        <w:t xml:space="preserve">allerdings </w:t>
      </w:r>
      <w:r>
        <w:t xml:space="preserve">schnell ändern; daher sind die folgenden Informationen ohne Gewähr. </w:t>
      </w:r>
      <w:r w:rsidR="00BA6343">
        <w:t xml:space="preserve">Feedback bitte </w:t>
      </w:r>
      <w:r w:rsidR="003C0C2F">
        <w:t xml:space="preserve">per Email </w:t>
      </w:r>
      <w:r w:rsidR="00BA6343">
        <w:t xml:space="preserve">an: </w:t>
      </w:r>
      <w:hyperlink r:id="rId13" w:history="1">
        <w:r w:rsidR="00BA6343" w:rsidRPr="00BA6343">
          <w:rPr>
            <w:rStyle w:val="Hyperlink"/>
          </w:rPr>
          <w:t>Gottfried Zimmermann</w:t>
        </w:r>
      </w:hyperlink>
      <w:r w:rsidR="00BA6343">
        <w:t>.</w:t>
      </w:r>
    </w:p>
    <w:p w14:paraId="24C366F4" w14:textId="0C8DB383" w:rsidR="003A70E0" w:rsidRPr="003A70E0" w:rsidRDefault="003A70E0">
      <w:r w:rsidRPr="003A70E0">
        <w:rPr>
          <w:b/>
        </w:rPr>
        <w:t>Hinweis:</w:t>
      </w:r>
      <w:r>
        <w:t xml:space="preserve"> Die Organisation kann Rechner für die Prüfung zur Verfügung stellen oder die Prüflinge bringen eigene Laptops mit.  Dies sollte vorab kommuniziert werden.</w:t>
      </w:r>
    </w:p>
    <w:p w14:paraId="4C9447AD" w14:textId="11CF2114" w:rsidR="00C034E7" w:rsidRPr="00C034E7" w:rsidRDefault="00BC31DB">
      <w:r w:rsidRPr="00432D1D">
        <w:rPr>
          <w:b/>
        </w:rPr>
        <w:t>Anmerkung</w:t>
      </w:r>
      <w:r w:rsidR="003A70E0">
        <w:rPr>
          <w:b/>
        </w:rPr>
        <w:t xml:space="preserve"> zur Lizenz</w:t>
      </w:r>
      <w:r w:rsidRPr="00432D1D">
        <w:rPr>
          <w:b/>
        </w:rPr>
        <w:t>:</w:t>
      </w:r>
      <w:r>
        <w:t xml:space="preserve"> </w:t>
      </w:r>
      <w:r w:rsidR="00C034E7">
        <w:t xml:space="preserve">Dieses Dokument darf unter den Bedingungen der </w:t>
      </w:r>
      <w:hyperlink r:id="rId14" w:history="1">
        <w:r w:rsidR="00C034E7" w:rsidRPr="00C034E7">
          <w:rPr>
            <w:rStyle w:val="Hyperlink"/>
          </w:rPr>
          <w:t>CC-BY 4.0 Lizenz</w:t>
        </w:r>
      </w:hyperlink>
      <w:r w:rsidR="00C034E7">
        <w:t xml:space="preserve"> verändert und weitergegeben werden.</w:t>
      </w:r>
    </w:p>
    <w:p w14:paraId="24CD1BFD" w14:textId="7344AC0B" w:rsidR="00C034E7" w:rsidRDefault="00C034E7" w:rsidP="00AA493B">
      <w:pPr>
        <w:pStyle w:val="berschrift2"/>
      </w:pPr>
      <w:r>
        <w:t>Einleitung</w:t>
      </w:r>
    </w:p>
    <w:p w14:paraId="36F8384D" w14:textId="5B71BCF2" w:rsidR="00432D1D" w:rsidRDefault="00432D1D" w:rsidP="00432D1D">
      <w:r>
        <w:t>Eine vor Ort organisierte Zertifikatsprüfung hat die folgenden Vorteile gegenüber den anderen Optionen:</w:t>
      </w:r>
    </w:p>
    <w:p w14:paraId="50E32634" w14:textId="061F7B24" w:rsidR="00432D1D" w:rsidRDefault="00A90D56" w:rsidP="00432D1D">
      <w:pPr>
        <w:pStyle w:val="Listenabsatz"/>
        <w:numPr>
          <w:ilvl w:val="0"/>
          <w:numId w:val="4"/>
        </w:numPr>
      </w:pPr>
      <w:r>
        <w:t xml:space="preserve">Eine Organisation kann ihren Angestellten eine bequeme Möglichkeit zur Zertifizierung anbieten. Selbst wenn die Prüflinge nicht zur durchführenden Organisation gehören, </w:t>
      </w:r>
      <w:r w:rsidR="00E6086D">
        <w:t>besteht in der Regel ein Vertrauensverhältnis</w:t>
      </w:r>
      <w:r>
        <w:t xml:space="preserve"> durch die gemeinsame Zugehörigkeit zu IAAP</w:t>
      </w:r>
      <w:r w:rsidR="00E6086D">
        <w:t>.</w:t>
      </w:r>
    </w:p>
    <w:p w14:paraId="5D31558B" w14:textId="013A1E94" w:rsidR="00E6086D" w:rsidRDefault="00E6086D" w:rsidP="00432D1D">
      <w:pPr>
        <w:pStyle w:val="Listenabsatz"/>
        <w:numPr>
          <w:ilvl w:val="0"/>
          <w:numId w:val="4"/>
        </w:numPr>
      </w:pPr>
      <w:r>
        <w:t xml:space="preserve">Die Prüflinge können sich als Lerngruppe zusammentun und die Prüfung </w:t>
      </w:r>
      <w:r w:rsidR="00A90D56">
        <w:t xml:space="preserve">gemeinsam </w:t>
      </w:r>
      <w:r>
        <w:t>ablegen.</w:t>
      </w:r>
    </w:p>
    <w:p w14:paraId="270AAAB8" w14:textId="46529932" w:rsidR="00E6086D" w:rsidRDefault="00CC0F2D" w:rsidP="00432D1D">
      <w:pPr>
        <w:pStyle w:val="Listenabsatz"/>
        <w:numPr>
          <w:ilvl w:val="0"/>
          <w:numId w:val="4"/>
        </w:numPr>
      </w:pPr>
      <w:r>
        <w:t>Die Prüflinge brauchen sich nicht der technisch aufwändigen Prozedur unterziehen, die eine vom IAAP-Personal überwachte Remote-Prüfung mit sich bringt.</w:t>
      </w:r>
    </w:p>
    <w:p w14:paraId="515299E3" w14:textId="18621C89" w:rsidR="00CC0F2D" w:rsidRPr="00432D1D" w:rsidRDefault="00CC0F2D" w:rsidP="00CC0F2D">
      <w:r>
        <w:t xml:space="preserve">Insbesondere bietet sich eine vor Ort organisierte Zertifikatsprüfung </w:t>
      </w:r>
      <w:r w:rsidR="003E5A57">
        <w:t xml:space="preserve">im Anschluss an einen </w:t>
      </w:r>
      <w:r>
        <w:t>entsprechenden Trainingskurs an.</w:t>
      </w:r>
    </w:p>
    <w:p w14:paraId="73D812FF" w14:textId="74C7D7DE" w:rsidR="00A90D56" w:rsidRDefault="00A90D56" w:rsidP="00AA493B">
      <w:pPr>
        <w:pStyle w:val="berschrift2"/>
      </w:pPr>
      <w:r>
        <w:lastRenderedPageBreak/>
        <w:t>Vorbereitung</w:t>
      </w:r>
    </w:p>
    <w:p w14:paraId="2B2C50B1" w14:textId="3DF762AA" w:rsidR="00A90D56" w:rsidRDefault="00A90D56" w:rsidP="00A90D56">
      <w:r>
        <w:t xml:space="preserve">Die folgenden Schritte sind vorbereitend für die durchführende Organisation (vgl. </w:t>
      </w:r>
      <w:hyperlink r:id="rId15" w:history="1">
        <w:r w:rsidRPr="00A90D56">
          <w:rPr>
            <w:rStyle w:val="Hyperlink"/>
          </w:rPr>
          <w:t xml:space="preserve">Host an </w:t>
        </w:r>
        <w:proofErr w:type="spellStart"/>
        <w:r w:rsidRPr="00A90D56">
          <w:rPr>
            <w:rStyle w:val="Hyperlink"/>
          </w:rPr>
          <w:t>Exam</w:t>
        </w:r>
        <w:proofErr w:type="spellEnd"/>
        <w:r w:rsidRPr="00A90D56">
          <w:rPr>
            <w:rStyle w:val="Hyperlink"/>
          </w:rPr>
          <w:t xml:space="preserve"> at </w:t>
        </w:r>
        <w:proofErr w:type="spellStart"/>
        <w:r w:rsidRPr="00A90D56">
          <w:rPr>
            <w:rStyle w:val="Hyperlink"/>
          </w:rPr>
          <w:t>your</w:t>
        </w:r>
        <w:proofErr w:type="spellEnd"/>
        <w:r w:rsidRPr="00A90D56">
          <w:rPr>
            <w:rStyle w:val="Hyperlink"/>
          </w:rPr>
          <w:t xml:space="preserve"> Facility | </w:t>
        </w:r>
        <w:r>
          <w:rPr>
            <w:rStyle w:val="Hyperlink"/>
          </w:rPr>
          <w:t>IAAP</w:t>
        </w:r>
        <w:r w:rsidRPr="00A90D56">
          <w:rPr>
            <w:rStyle w:val="Hyperlink"/>
          </w:rPr>
          <w:t>)</w:t>
        </w:r>
      </w:hyperlink>
      <w:r>
        <w:t>:</w:t>
      </w:r>
    </w:p>
    <w:p w14:paraId="12D222EB" w14:textId="1DFC6E99" w:rsidR="00A90D56" w:rsidRDefault="00C143C8" w:rsidP="00DC3799">
      <w:pPr>
        <w:pStyle w:val="Listenabsatz"/>
        <w:numPr>
          <w:ilvl w:val="0"/>
          <w:numId w:val="5"/>
        </w:numPr>
        <w:ind w:left="567" w:hanging="567"/>
      </w:pPr>
      <w:r>
        <w:t>Voraussetzungen prüfen:</w:t>
      </w:r>
    </w:p>
    <w:p w14:paraId="3B9C88A1" w14:textId="5B3AB88D" w:rsidR="00C143C8" w:rsidRDefault="00256F03" w:rsidP="00DC3799">
      <w:pPr>
        <w:pStyle w:val="Listenabsatz"/>
        <w:numPr>
          <w:ilvl w:val="1"/>
          <w:numId w:val="5"/>
        </w:numPr>
        <w:ind w:left="993"/>
      </w:pPr>
      <w:r>
        <w:t xml:space="preserve">Geeigneter </w:t>
      </w:r>
      <w:r w:rsidR="00C143C8">
        <w:t xml:space="preserve">Raum verfügbar, </w:t>
      </w:r>
      <w:r>
        <w:t xml:space="preserve">mit zuverlässiger Internetverbindung, Stromanschlüssen, </w:t>
      </w:r>
      <w:r w:rsidR="00C143C8">
        <w:t xml:space="preserve">ggf. </w:t>
      </w:r>
      <w:r w:rsidR="003A70E0">
        <w:t>Rechner</w:t>
      </w:r>
      <w:r>
        <w:t xml:space="preserve"> vor Ort.</w:t>
      </w:r>
    </w:p>
    <w:p w14:paraId="563510D2" w14:textId="33406F1D" w:rsidR="00875249" w:rsidRDefault="00C143C8" w:rsidP="00DC3799">
      <w:pPr>
        <w:pStyle w:val="Listenabsatz"/>
        <w:numPr>
          <w:ilvl w:val="1"/>
          <w:numId w:val="5"/>
        </w:numPr>
        <w:ind w:left="993"/>
      </w:pPr>
      <w:r>
        <w:t>Aufsichtsperson</w:t>
      </w:r>
      <w:r w:rsidR="00F603D7">
        <w:t>(en)</w:t>
      </w:r>
      <w:r>
        <w:t xml:space="preserve"> verfügbar</w:t>
      </w:r>
      <w:r w:rsidR="00F603D7">
        <w:t xml:space="preserve"> (1 Person kann bis zu 10 Prüflinge beaufsichtigen, 2 bis zu 20, usw.)</w:t>
      </w:r>
      <w:r>
        <w:t>.</w:t>
      </w:r>
      <w:r w:rsidR="00875249">
        <w:t xml:space="preserve"> Für die Aufsichtsperson</w:t>
      </w:r>
      <w:r w:rsidR="00F603D7">
        <w:t>en</w:t>
      </w:r>
      <w:r w:rsidR="00875249">
        <w:t xml:space="preserve"> müssen alle folgenden Bedingungen erfüllt sein:</w:t>
      </w:r>
    </w:p>
    <w:p w14:paraId="0523A3F6" w14:textId="70FBE8F2" w:rsidR="00C143C8" w:rsidRDefault="00875249" w:rsidP="00DC3799">
      <w:pPr>
        <w:pStyle w:val="Listenabsatz"/>
        <w:numPr>
          <w:ilvl w:val="2"/>
          <w:numId w:val="5"/>
        </w:numPr>
        <w:ind w:left="1418"/>
      </w:pPr>
      <w:r>
        <w:t>Sie</w:t>
      </w:r>
      <w:r w:rsidR="00C143C8">
        <w:t xml:space="preserve"> </w:t>
      </w:r>
      <w:r w:rsidR="00F603D7">
        <w:t xml:space="preserve">müssen </w:t>
      </w:r>
      <w:r w:rsidR="00C143C8">
        <w:t>entweder schon das entsprechende Zertifikat besitzen oder sich für ein Jahr verpflichten, diese Zertifikatsprüfung nicht zu machen.</w:t>
      </w:r>
      <w:r>
        <w:t xml:space="preserve"> </w:t>
      </w:r>
    </w:p>
    <w:p w14:paraId="4CB18C41" w14:textId="0AED6B8E" w:rsidR="00875249" w:rsidRDefault="00875249" w:rsidP="00DC3799">
      <w:pPr>
        <w:pStyle w:val="Listenabsatz"/>
        <w:numPr>
          <w:ilvl w:val="2"/>
          <w:numId w:val="5"/>
        </w:numPr>
        <w:ind w:left="1418"/>
      </w:pPr>
      <w:r>
        <w:t xml:space="preserve">Sie </w:t>
      </w:r>
      <w:r w:rsidR="00F603D7">
        <w:t xml:space="preserve">dürfen </w:t>
      </w:r>
      <w:r>
        <w:t>kein(e) direkte(r) Vorgesetzte(r) oder eine andere Person für einen Prüfling sein, der er/sie berichtspflichtig ist.</w:t>
      </w:r>
    </w:p>
    <w:p w14:paraId="76A7FC54" w14:textId="6BD335CA" w:rsidR="00875249" w:rsidRDefault="00875249" w:rsidP="00DC3799">
      <w:pPr>
        <w:pStyle w:val="Listenabsatz"/>
        <w:numPr>
          <w:ilvl w:val="2"/>
          <w:numId w:val="5"/>
        </w:numPr>
        <w:ind w:left="1418"/>
      </w:pPr>
      <w:r>
        <w:t xml:space="preserve">Sie </w:t>
      </w:r>
      <w:r w:rsidR="00F603D7">
        <w:t xml:space="preserve">dürfen </w:t>
      </w:r>
      <w:r>
        <w:t>kein direktes Familienmitglied für einen der Prüflinge sein.</w:t>
      </w:r>
    </w:p>
    <w:p w14:paraId="2D359F26" w14:textId="35206C25" w:rsidR="00497C20" w:rsidRDefault="00497C20" w:rsidP="00DC3799">
      <w:pPr>
        <w:pStyle w:val="Listenabsatz"/>
        <w:numPr>
          <w:ilvl w:val="0"/>
          <w:numId w:val="5"/>
        </w:numPr>
        <w:ind w:left="567" w:hanging="567"/>
      </w:pPr>
      <w:r>
        <w:t xml:space="preserve">Raum reservieren. Es sollte 1h Vorlaufzeit und 30min danach eingerechnet werden. Die normale Prüfungszeit ist 2h, aber für einzelne Prüflinge kann es individuelle Nachteilsausgleiche um bis zu weiteren 2h geben (wird von IAAP Global bestimmt). </w:t>
      </w:r>
    </w:p>
    <w:p w14:paraId="3AF4B882" w14:textId="2A8B1BCB" w:rsidR="00875249" w:rsidRDefault="00875249" w:rsidP="00DC3799">
      <w:pPr>
        <w:pStyle w:val="Listenabsatz"/>
        <w:numPr>
          <w:ilvl w:val="0"/>
          <w:numId w:val="5"/>
        </w:numPr>
        <w:ind w:left="567" w:hanging="567"/>
      </w:pPr>
      <w:r>
        <w:t xml:space="preserve">Anmeldung der Prüfung bei IAAP Global: </w:t>
      </w:r>
      <w:hyperlink r:id="rId16" w:history="1">
        <w:r w:rsidRPr="00875249">
          <w:rPr>
            <w:rStyle w:val="Hyperlink"/>
          </w:rPr>
          <w:t xml:space="preserve">Contact </w:t>
        </w:r>
        <w:proofErr w:type="spellStart"/>
        <w:r w:rsidRPr="00875249">
          <w:rPr>
            <w:rStyle w:val="Hyperlink"/>
          </w:rPr>
          <w:t>Us</w:t>
        </w:r>
        <w:proofErr w:type="spellEnd"/>
        <w:r w:rsidRPr="00875249">
          <w:rPr>
            <w:rStyle w:val="Hyperlink"/>
          </w:rPr>
          <w:t xml:space="preserve"> |</w:t>
        </w:r>
        <w:r>
          <w:rPr>
            <w:rStyle w:val="Hyperlink"/>
          </w:rPr>
          <w:t xml:space="preserve"> IAAP</w:t>
        </w:r>
      </w:hyperlink>
      <w:r>
        <w:t xml:space="preserve"> (</w:t>
      </w:r>
      <w:r w:rsidRPr="00875249">
        <w:rPr>
          <w:lang w:val="en-US"/>
        </w:rPr>
        <w:t>Contact Reason = Certifications</w:t>
      </w:r>
      <w:r>
        <w:t>)</w:t>
      </w:r>
      <w:r w:rsidR="00966216">
        <w:t xml:space="preserve">. Hinweis: Die Prüfung wird dann auf der Website von IAAP Global </w:t>
      </w:r>
      <w:r w:rsidR="003B1451">
        <w:t>mit Datum und Ort angezeigt (</w:t>
      </w:r>
      <w:hyperlink r:id="rId17" w:history="1">
        <w:r w:rsidR="00966216">
          <w:rPr>
            <w:rStyle w:val="Hyperlink"/>
          </w:rPr>
          <w:t xml:space="preserve">Certification </w:t>
        </w:r>
        <w:proofErr w:type="spellStart"/>
        <w:r w:rsidR="00966216">
          <w:rPr>
            <w:rStyle w:val="Hyperlink"/>
          </w:rPr>
          <w:t>Apply</w:t>
        </w:r>
        <w:proofErr w:type="spellEnd"/>
        <w:r w:rsidR="00966216">
          <w:rPr>
            <w:rStyle w:val="Hyperlink"/>
          </w:rPr>
          <w:t xml:space="preserve"> | IAAP</w:t>
        </w:r>
      </w:hyperlink>
      <w:r w:rsidR="003B1451">
        <w:t>). Kandidaten müssen sich dafür bei IAAP Global anmelden.</w:t>
      </w:r>
    </w:p>
    <w:p w14:paraId="16A5BF45" w14:textId="0191542E" w:rsidR="001831E8" w:rsidRPr="00A90D56" w:rsidRDefault="001831E8" w:rsidP="00DC3799">
      <w:pPr>
        <w:pStyle w:val="Listenabsatz"/>
        <w:numPr>
          <w:ilvl w:val="0"/>
          <w:numId w:val="5"/>
        </w:numPr>
        <w:ind w:left="567" w:hanging="567"/>
      </w:pPr>
      <w:r>
        <w:t>Die von IAAP Global empfangene Einverständniserklärung (eng. „</w:t>
      </w:r>
      <w:r w:rsidRPr="001831E8">
        <w:rPr>
          <w:lang w:val="en-US"/>
        </w:rPr>
        <w:t>Proctor Agreement Form</w:t>
      </w:r>
      <w:r>
        <w:t>“) unterschreiben und an IAAP Global zurücksenden.</w:t>
      </w:r>
    </w:p>
    <w:p w14:paraId="4E99C262" w14:textId="0ADE3BB8" w:rsidR="00497C20" w:rsidRDefault="009F3CC6" w:rsidP="00DC3799">
      <w:pPr>
        <w:pStyle w:val="Listenabsatz"/>
        <w:numPr>
          <w:ilvl w:val="0"/>
          <w:numId w:val="5"/>
        </w:numPr>
        <w:ind w:left="567" w:hanging="567"/>
      </w:pPr>
      <w:r>
        <w:t xml:space="preserve">Bekanntmachung: </w:t>
      </w:r>
      <w:r w:rsidR="00497C20">
        <w:t xml:space="preserve">Prüfungsort und -termin </w:t>
      </w:r>
      <w:hyperlink r:id="rId18" w:history="1">
        <w:r w:rsidR="00497C20" w:rsidRPr="00497C20">
          <w:rPr>
            <w:rStyle w:val="Hyperlink"/>
          </w:rPr>
          <w:t>bei IAAP-DACH melden</w:t>
        </w:r>
      </w:hyperlink>
      <w:r w:rsidR="00497C20">
        <w:t>, damit die Mitglieder darüber informiert werden.</w:t>
      </w:r>
      <w:r w:rsidR="003A70E0">
        <w:t xml:space="preserve"> Ggf. Prüfungsmöglichkeit über eigene Kanäle bewerben (persönlich, Newsletter, soziale Medien, usw.).  Jeweils klar kommunizieren, ob Rechner vorhanden sind oder die Prüflinge ihre eigenen Laptops mitbringen müssen.</w:t>
      </w:r>
    </w:p>
    <w:p w14:paraId="0907BA29" w14:textId="45976A48" w:rsidR="00875249" w:rsidRDefault="00875249" w:rsidP="00DC3799">
      <w:pPr>
        <w:pStyle w:val="Listenabsatz"/>
        <w:numPr>
          <w:ilvl w:val="0"/>
          <w:numId w:val="5"/>
        </w:numPr>
        <w:ind w:left="567" w:hanging="567"/>
      </w:pPr>
      <w:r>
        <w:t xml:space="preserve">Die Aufsichtsperson bereitet sich auf die Prüfung vor: </w:t>
      </w:r>
      <w:hyperlink r:id="rId19" w:history="1">
        <w:r>
          <w:rPr>
            <w:rStyle w:val="Hyperlink"/>
          </w:rPr>
          <w:t xml:space="preserve">IAAP 2023 </w:t>
        </w:r>
        <w:proofErr w:type="spellStart"/>
        <w:r>
          <w:rPr>
            <w:rStyle w:val="Hyperlink"/>
          </w:rPr>
          <w:t>Hosted</w:t>
        </w:r>
        <w:proofErr w:type="spellEnd"/>
        <w:r>
          <w:rPr>
            <w:rStyle w:val="Hyperlink"/>
          </w:rPr>
          <w:t xml:space="preserve"> </w:t>
        </w:r>
        <w:proofErr w:type="spellStart"/>
        <w:r>
          <w:rPr>
            <w:rStyle w:val="Hyperlink"/>
          </w:rPr>
          <w:t>Exam</w:t>
        </w:r>
        <w:proofErr w:type="spellEnd"/>
        <w:r>
          <w:rPr>
            <w:rStyle w:val="Hyperlink"/>
          </w:rPr>
          <w:t xml:space="preserve"> Proctor Guide</w:t>
        </w:r>
      </w:hyperlink>
      <w:r>
        <w:t xml:space="preserve"> durchlesen.</w:t>
      </w:r>
    </w:p>
    <w:p w14:paraId="353014C9" w14:textId="1B8B8BD0" w:rsidR="00FB01D7" w:rsidRDefault="00FB01D7" w:rsidP="00DC3799">
      <w:pPr>
        <w:pStyle w:val="Listenabsatz"/>
        <w:numPr>
          <w:ilvl w:val="0"/>
          <w:numId w:val="5"/>
        </w:numPr>
        <w:ind w:left="567" w:hanging="567"/>
      </w:pPr>
      <w:r>
        <w:t>Ca. 3 Tage vor der Prüfung empfängt die Aufsichtsperson die folgenden Unterlagen von IAAP Global:</w:t>
      </w:r>
    </w:p>
    <w:p w14:paraId="488FB86F" w14:textId="104A98BE" w:rsidR="00210305" w:rsidRDefault="00210305" w:rsidP="00DC3799">
      <w:pPr>
        <w:pStyle w:val="Listenabsatz"/>
        <w:numPr>
          <w:ilvl w:val="1"/>
          <w:numId w:val="5"/>
        </w:numPr>
        <w:ind w:left="993"/>
      </w:pPr>
      <w:r>
        <w:t>Namen und Email-Adressen der Prüflinge – Nützlich, um noch eine Einladungsemail mit Ortsinformationen zu senden; ggf. darüber informieren, dass Laptops selbst mitgebracht werden müssen.</w:t>
      </w:r>
    </w:p>
    <w:p w14:paraId="585E7645" w14:textId="332C60F0" w:rsidR="00FB01D7" w:rsidRDefault="00FB01D7" w:rsidP="00DC3799">
      <w:pPr>
        <w:pStyle w:val="Listenabsatz"/>
        <w:numPr>
          <w:ilvl w:val="1"/>
          <w:numId w:val="5"/>
        </w:numPr>
        <w:ind w:left="993"/>
      </w:pPr>
      <w:r>
        <w:t xml:space="preserve">Anweisungen zur Prüfung mit </w:t>
      </w:r>
      <w:r w:rsidR="00E04BE6">
        <w:t>Liste der Prüflinge</w:t>
      </w:r>
      <w:r>
        <w:t xml:space="preserve"> und individuellen Prüfungs-URLs </w:t>
      </w:r>
      <w:r w:rsidR="00E04BE6">
        <w:t>– URLs ausdrucken und zerschneiden, so dass jeder Prüfling seine URL erhält</w:t>
      </w:r>
      <w:r w:rsidR="007454A6">
        <w:t>. Tipp: Auch das WLAN-Passwort mit auf die Schnipsel schreiben.</w:t>
      </w:r>
    </w:p>
    <w:p w14:paraId="2750B329" w14:textId="2A02C465" w:rsidR="00FB01D7" w:rsidRDefault="00FB01D7" w:rsidP="00DC3799">
      <w:pPr>
        <w:pStyle w:val="Listenabsatz"/>
        <w:numPr>
          <w:ilvl w:val="1"/>
          <w:numId w:val="5"/>
        </w:numPr>
        <w:ind w:left="993"/>
      </w:pPr>
      <w:r>
        <w:lastRenderedPageBreak/>
        <w:t>Manuskript zur Durchführung der Prüfung (eng. „</w:t>
      </w:r>
      <w:r w:rsidRPr="00FB01D7">
        <w:rPr>
          <w:lang w:val="en-US"/>
        </w:rPr>
        <w:t>Proctor Script</w:t>
      </w:r>
      <w:r>
        <w:t>“)</w:t>
      </w:r>
      <w:r w:rsidR="00E04BE6">
        <w:t xml:space="preserve"> – ausdrucken für die Prüfung</w:t>
      </w:r>
    </w:p>
    <w:p w14:paraId="2C985AFB" w14:textId="4FBF57E5" w:rsidR="00FB01D7" w:rsidRDefault="00FB01D7" w:rsidP="00DC3799">
      <w:pPr>
        <w:pStyle w:val="Listenabsatz"/>
        <w:numPr>
          <w:ilvl w:val="1"/>
          <w:numId w:val="5"/>
        </w:numPr>
        <w:ind w:left="993"/>
      </w:pPr>
      <w:r>
        <w:t xml:space="preserve">Unterschriftenliste für die </w:t>
      </w:r>
      <w:r w:rsidR="00E04BE6">
        <w:t>Prüflinge – ausdrucken für die Prüfung</w:t>
      </w:r>
    </w:p>
    <w:p w14:paraId="6763E55E" w14:textId="4FD67DF6" w:rsidR="00FB01D7" w:rsidRDefault="00FB01D7" w:rsidP="00DC3799">
      <w:pPr>
        <w:pStyle w:val="Listenabsatz"/>
        <w:numPr>
          <w:ilvl w:val="1"/>
          <w:numId w:val="5"/>
        </w:numPr>
        <w:ind w:left="993"/>
      </w:pPr>
      <w:r>
        <w:t>Protokollblatt für die Prüfung (eng. „</w:t>
      </w:r>
      <w:r w:rsidRPr="00FB01D7">
        <w:rPr>
          <w:lang w:val="en-US"/>
        </w:rPr>
        <w:t>Proctor Exam Site Report Form</w:t>
      </w:r>
      <w:r>
        <w:t>“)</w:t>
      </w:r>
      <w:r w:rsidR="00E04BE6">
        <w:t xml:space="preserve"> – ausdrucken für die Prüfung</w:t>
      </w:r>
    </w:p>
    <w:p w14:paraId="2E63FF94" w14:textId="77777777" w:rsidR="005C44DE" w:rsidRDefault="00256F03" w:rsidP="00DC3799">
      <w:pPr>
        <w:pStyle w:val="Listenabsatz"/>
        <w:numPr>
          <w:ilvl w:val="1"/>
          <w:numId w:val="5"/>
        </w:numPr>
        <w:ind w:left="993"/>
      </w:pPr>
      <w:r>
        <w:t xml:space="preserve">Ggf. individuelle </w:t>
      </w:r>
      <w:r w:rsidR="005C44DE">
        <w:t>Sonderregelungen für einzelne Prüflinge:</w:t>
      </w:r>
    </w:p>
    <w:p w14:paraId="6195A3EB" w14:textId="0DBFF87F" w:rsidR="00256F03" w:rsidRDefault="00256F03" w:rsidP="005C44DE">
      <w:pPr>
        <w:pStyle w:val="Listenabsatz"/>
        <w:numPr>
          <w:ilvl w:val="2"/>
          <w:numId w:val="5"/>
        </w:numPr>
        <w:ind w:left="1418"/>
      </w:pPr>
      <w:r>
        <w:t>Nachteilsausgleiche (zusätzliche Zeit)</w:t>
      </w:r>
    </w:p>
    <w:p w14:paraId="3908622A" w14:textId="05D70E39" w:rsidR="005C44DE" w:rsidRDefault="005C44DE" w:rsidP="005C44DE">
      <w:pPr>
        <w:pStyle w:val="Listenabsatz"/>
        <w:numPr>
          <w:ilvl w:val="2"/>
          <w:numId w:val="5"/>
        </w:numPr>
        <w:ind w:left="1418"/>
      </w:pPr>
      <w:r>
        <w:t>Gebärdensprach-Dolmetscher</w:t>
      </w:r>
    </w:p>
    <w:p w14:paraId="7C6C434D" w14:textId="6D135FCE" w:rsidR="00A90D56" w:rsidRPr="00AA493B" w:rsidRDefault="00A90D56" w:rsidP="00AA493B">
      <w:pPr>
        <w:pStyle w:val="berschrift2"/>
      </w:pPr>
      <w:r w:rsidRPr="00AA493B">
        <w:t>Durchführung</w:t>
      </w:r>
    </w:p>
    <w:p w14:paraId="128930FF" w14:textId="4C830A55" w:rsidR="00CF51F0" w:rsidRDefault="00FB01D7" w:rsidP="00DC3799">
      <w:pPr>
        <w:pStyle w:val="Listenabsatz"/>
        <w:numPr>
          <w:ilvl w:val="0"/>
          <w:numId w:val="5"/>
        </w:numPr>
        <w:ind w:left="567" w:hanging="567"/>
      </w:pPr>
      <w:r>
        <w:t>Den Raum ca. 1h vor Beginn der Prüfung vorbereiten</w:t>
      </w:r>
      <w:r w:rsidR="00CF51F0">
        <w:t>.</w:t>
      </w:r>
    </w:p>
    <w:p w14:paraId="05D789B6" w14:textId="652B0002" w:rsidR="00DC3799" w:rsidRDefault="00E04BE6" w:rsidP="00DC3799">
      <w:pPr>
        <w:pStyle w:val="Listenabsatz"/>
        <w:numPr>
          <w:ilvl w:val="0"/>
          <w:numId w:val="5"/>
        </w:numPr>
        <w:ind w:left="567" w:hanging="567"/>
      </w:pPr>
      <w:r>
        <w:t>Bei Eintritt der Prüfl</w:t>
      </w:r>
      <w:r w:rsidR="007454A6">
        <w:t>inge Nachweis der Identität verlangen (Personalausweis o.ä.) und auf der Liste unterschreiben lassen.</w:t>
      </w:r>
      <w:r w:rsidR="00256F03">
        <w:t xml:space="preserve"> </w:t>
      </w:r>
    </w:p>
    <w:p w14:paraId="19F657DA" w14:textId="77777777" w:rsidR="005C44DE" w:rsidRDefault="00CC3A2E" w:rsidP="00DC3799">
      <w:pPr>
        <w:pStyle w:val="Listenabsatz"/>
        <w:numPr>
          <w:ilvl w:val="0"/>
          <w:numId w:val="5"/>
        </w:numPr>
        <w:ind w:left="567" w:hanging="567"/>
      </w:pPr>
      <w:r>
        <w:t xml:space="preserve">Den Prüflingen einen Platz zuweisen und sicherstellen, dass </w:t>
      </w:r>
      <w:r w:rsidR="008B0BDA">
        <w:t>alle einen funktionierenden Rechner und Internetzugang haben.</w:t>
      </w:r>
      <w:r w:rsidR="005C44DE">
        <w:t xml:space="preserve"> </w:t>
      </w:r>
    </w:p>
    <w:p w14:paraId="12DFBCDD" w14:textId="2C5D30CB" w:rsidR="00C935D8" w:rsidRDefault="00C935D8" w:rsidP="005C44DE">
      <w:pPr>
        <w:pStyle w:val="Listenabsatz"/>
        <w:numPr>
          <w:ilvl w:val="1"/>
          <w:numId w:val="5"/>
        </w:numPr>
        <w:ind w:left="993"/>
      </w:pPr>
      <w:r>
        <w:t>Prüflinge mit Nachteilsausgleich darüber informieren, wieviel Zeit sie zusätzlich bekommen.</w:t>
      </w:r>
    </w:p>
    <w:p w14:paraId="16DA569A" w14:textId="3DAC37A6" w:rsidR="007454A6" w:rsidRDefault="005C44DE" w:rsidP="005C44DE">
      <w:pPr>
        <w:pStyle w:val="Listenabsatz"/>
        <w:numPr>
          <w:ilvl w:val="1"/>
          <w:numId w:val="5"/>
        </w:numPr>
        <w:ind w:left="993"/>
      </w:pPr>
      <w:r>
        <w:t>Gebärdensprach-Dolmetscher und zugehörige Prüflinge zusammensetzen.</w:t>
      </w:r>
    </w:p>
    <w:p w14:paraId="3776B096" w14:textId="17B54A09" w:rsidR="005C44DE" w:rsidRDefault="005C44DE" w:rsidP="005C44DE">
      <w:pPr>
        <w:pStyle w:val="Listenabsatz"/>
        <w:numPr>
          <w:ilvl w:val="1"/>
          <w:numId w:val="5"/>
        </w:numPr>
        <w:ind w:left="993"/>
      </w:pPr>
      <w:r>
        <w:t xml:space="preserve">Sicherstellen, dass </w:t>
      </w:r>
      <w:r w:rsidR="00D977E1">
        <w:t xml:space="preserve">benötigte </w:t>
      </w:r>
      <w:r>
        <w:t>Assistive Technologie</w:t>
      </w:r>
      <w:r w:rsidR="00D977E1">
        <w:t>n funktionieren (z.B. Screenreader).</w:t>
      </w:r>
    </w:p>
    <w:p w14:paraId="32CDC6FD" w14:textId="79C3EBD3" w:rsidR="00D977E1" w:rsidRDefault="00D977E1" w:rsidP="005C44DE">
      <w:pPr>
        <w:pStyle w:val="Listenabsatz"/>
        <w:numPr>
          <w:ilvl w:val="1"/>
          <w:numId w:val="5"/>
        </w:numPr>
        <w:ind w:left="993"/>
      </w:pPr>
      <w:r>
        <w:t>Sicherstellen, dass Prüflinge mit Screenreader Kopfhörer verwenden.</w:t>
      </w:r>
    </w:p>
    <w:p w14:paraId="0F106E1A" w14:textId="4A4A33CB" w:rsidR="008B0BDA" w:rsidRDefault="00C935D8" w:rsidP="00DC3799">
      <w:pPr>
        <w:pStyle w:val="Listenabsatz"/>
        <w:numPr>
          <w:ilvl w:val="0"/>
          <w:numId w:val="5"/>
        </w:numPr>
        <w:ind w:left="567" w:hanging="567"/>
      </w:pPr>
      <w:r>
        <w:t>Über WCs und Fluchtwege informieren.</w:t>
      </w:r>
    </w:p>
    <w:p w14:paraId="18404BA0" w14:textId="1F583C0E" w:rsidR="00C935D8" w:rsidRDefault="00C935D8" w:rsidP="003A3066">
      <w:pPr>
        <w:pStyle w:val="Listenabsatz"/>
        <w:numPr>
          <w:ilvl w:val="0"/>
          <w:numId w:val="5"/>
        </w:numPr>
        <w:ind w:left="567" w:hanging="567"/>
      </w:pPr>
      <w:r>
        <w:t>Dem Manuskript von IAAP Global entlang gehen (vorlesen und den Anweisungen folgen). Dabei können die Prüflinge auf den ersten drei Webseiten der Prüfung folgen und ggf. ihr Einverständnis durch Eintippen der Namen geben (Urheberrecht, Prüfungsvorschriften, abschließende Anleitung). Nochmals nachfragen, ob alles klar ist, ggf. Informationen wiederholen.</w:t>
      </w:r>
    </w:p>
    <w:p w14:paraId="6424BA53" w14:textId="00E12EFD" w:rsidR="00C935D8" w:rsidRDefault="00C935D8" w:rsidP="00DC3799">
      <w:pPr>
        <w:pStyle w:val="Listenabsatz"/>
        <w:numPr>
          <w:ilvl w:val="0"/>
          <w:numId w:val="5"/>
        </w:numPr>
        <w:ind w:left="567" w:hanging="567"/>
      </w:pPr>
      <w:r>
        <w:t>Die Prüflinge dürfen jetzt den WEITER-Button auf der dritten Seite (abschließende Anleitung) drücken. Ab jetzt läuft die Zeit. Startzeit auf dem Protokollblatt notieren.</w:t>
      </w:r>
    </w:p>
    <w:p w14:paraId="41D97A48" w14:textId="3619A433" w:rsidR="00F53B2D" w:rsidRDefault="00F53B2D" w:rsidP="00DC3799">
      <w:pPr>
        <w:pStyle w:val="Listenabsatz"/>
        <w:numPr>
          <w:ilvl w:val="0"/>
          <w:numId w:val="5"/>
        </w:numPr>
        <w:ind w:left="567" w:hanging="567"/>
      </w:pPr>
      <w:r>
        <w:t>Während der Prüfung Auffälligkeiten auf dem Protokollblatt unter „</w:t>
      </w:r>
      <w:r w:rsidRPr="00F53B2D">
        <w:rPr>
          <w:lang w:val="en-US"/>
        </w:rPr>
        <w:t>Additional Comments</w:t>
      </w:r>
      <w:r>
        <w:t>“ notieren, z.B.</w:t>
      </w:r>
    </w:p>
    <w:p w14:paraId="1DADB707" w14:textId="23B31A23" w:rsidR="00F53B2D" w:rsidRDefault="00F53B2D" w:rsidP="00F53B2D">
      <w:pPr>
        <w:pStyle w:val="Listenabsatz"/>
        <w:numPr>
          <w:ilvl w:val="1"/>
          <w:numId w:val="5"/>
        </w:numPr>
        <w:ind w:left="993"/>
      </w:pPr>
      <w:r>
        <w:t>Internet- oder Stromausfälle und ggf. zusätzliches Zeitbudget</w:t>
      </w:r>
    </w:p>
    <w:p w14:paraId="2D363D7B" w14:textId="3CB6764E" w:rsidR="00F53B2D" w:rsidRDefault="00F53B2D" w:rsidP="00F53B2D">
      <w:pPr>
        <w:pStyle w:val="Listenabsatz"/>
        <w:numPr>
          <w:ilvl w:val="1"/>
          <w:numId w:val="5"/>
        </w:numPr>
        <w:ind w:left="993"/>
      </w:pPr>
      <w:r>
        <w:t>Starke Störungen durch Prüflinge oder von extern</w:t>
      </w:r>
    </w:p>
    <w:p w14:paraId="456FE548" w14:textId="3E6ABBA8" w:rsidR="00F53B2D" w:rsidRDefault="00F53B2D" w:rsidP="00F53B2D">
      <w:pPr>
        <w:pStyle w:val="Listenabsatz"/>
        <w:numPr>
          <w:ilvl w:val="1"/>
          <w:numId w:val="5"/>
        </w:numPr>
        <w:ind w:left="993"/>
      </w:pPr>
      <w:r>
        <w:t>Betrugsversuche</w:t>
      </w:r>
    </w:p>
    <w:p w14:paraId="00DDDDFF" w14:textId="5824862F" w:rsidR="003711BA" w:rsidRDefault="003711BA" w:rsidP="00F53B2D">
      <w:pPr>
        <w:pStyle w:val="Listenabsatz"/>
        <w:numPr>
          <w:ilvl w:val="1"/>
          <w:numId w:val="5"/>
        </w:numPr>
        <w:ind w:left="993"/>
      </w:pPr>
      <w:r>
        <w:t>Abweichende Startzeiten einzelner Prüflinge</w:t>
      </w:r>
    </w:p>
    <w:p w14:paraId="11C5885A" w14:textId="6CF63355" w:rsidR="00C935D8" w:rsidRDefault="00260271" w:rsidP="00DC3799">
      <w:pPr>
        <w:pStyle w:val="Listenabsatz"/>
        <w:numPr>
          <w:ilvl w:val="0"/>
          <w:numId w:val="5"/>
        </w:numPr>
        <w:ind w:left="567" w:hanging="567"/>
      </w:pPr>
      <w:r>
        <w:t>D</w:t>
      </w:r>
      <w:r w:rsidR="00C935D8">
        <w:t xml:space="preserve">ie Aufsichtspersonen </w:t>
      </w:r>
      <w:r>
        <w:t xml:space="preserve">dürfen </w:t>
      </w:r>
      <w:r w:rsidR="00C935D8">
        <w:t>NICHT:</w:t>
      </w:r>
    </w:p>
    <w:p w14:paraId="618B65E7" w14:textId="768602D1" w:rsidR="00C935D8" w:rsidRDefault="00C935D8" w:rsidP="00C935D8">
      <w:pPr>
        <w:pStyle w:val="Listenabsatz"/>
        <w:numPr>
          <w:ilvl w:val="1"/>
          <w:numId w:val="5"/>
        </w:numPr>
        <w:ind w:left="993"/>
      </w:pPr>
      <w:r>
        <w:t>Hilfestellungen zu Prüfungsfragen geben</w:t>
      </w:r>
    </w:p>
    <w:p w14:paraId="08517F09" w14:textId="513A8939" w:rsidR="00C935D8" w:rsidRDefault="00C935D8" w:rsidP="00C935D8">
      <w:pPr>
        <w:pStyle w:val="Listenabsatz"/>
        <w:numPr>
          <w:ilvl w:val="1"/>
          <w:numId w:val="5"/>
        </w:numPr>
        <w:ind w:left="993"/>
      </w:pPr>
      <w:r>
        <w:t>Informationen, insbesondere Fragen, aus der Prüfung kopieren</w:t>
      </w:r>
    </w:p>
    <w:p w14:paraId="3D519AA7" w14:textId="425C6ABA" w:rsidR="00C935D8" w:rsidRDefault="00C935D8" w:rsidP="00C935D8">
      <w:pPr>
        <w:pStyle w:val="Listenabsatz"/>
        <w:numPr>
          <w:ilvl w:val="1"/>
          <w:numId w:val="5"/>
        </w:numPr>
        <w:ind w:left="993"/>
      </w:pPr>
      <w:r>
        <w:t>Den Prüflingen bei der Übersetzung der Fragen helfen</w:t>
      </w:r>
    </w:p>
    <w:p w14:paraId="714884A1" w14:textId="0E5B6642" w:rsidR="00C935D8" w:rsidRDefault="00C935D8" w:rsidP="00C935D8">
      <w:pPr>
        <w:pStyle w:val="Listenabsatz"/>
        <w:numPr>
          <w:ilvl w:val="1"/>
          <w:numId w:val="5"/>
        </w:numPr>
        <w:ind w:left="993"/>
      </w:pPr>
      <w:r>
        <w:t>Den Prüflingen gestatten, andere Materialien zu Hilfe zu nehmen (Internet, Emails, Dokumente, Bücher, oder andere Materialien)</w:t>
      </w:r>
    </w:p>
    <w:p w14:paraId="4E2CD573" w14:textId="6ED05A3B" w:rsidR="00260271" w:rsidRDefault="00260271" w:rsidP="00C935D8">
      <w:pPr>
        <w:pStyle w:val="Listenabsatz"/>
        <w:numPr>
          <w:ilvl w:val="1"/>
          <w:numId w:val="5"/>
        </w:numPr>
        <w:ind w:left="993"/>
      </w:pPr>
      <w:r>
        <w:lastRenderedPageBreak/>
        <w:t>Die Prüflinge remote beaufsichtigen (das darf nur IAAP Global)</w:t>
      </w:r>
    </w:p>
    <w:p w14:paraId="28DF0D05" w14:textId="0EB9E351" w:rsidR="00C935D8" w:rsidRDefault="00260271" w:rsidP="00C935D8">
      <w:pPr>
        <w:pStyle w:val="Listenabsatz"/>
        <w:numPr>
          <w:ilvl w:val="1"/>
          <w:numId w:val="5"/>
        </w:numPr>
        <w:ind w:left="993"/>
      </w:pPr>
      <w:r>
        <w:t xml:space="preserve">Nach der Prüfung: </w:t>
      </w:r>
      <w:r w:rsidR="00C935D8">
        <w:t>Prüfungsfragen mit den Prüflingen diskutieren</w:t>
      </w:r>
      <w:r>
        <w:t xml:space="preserve"> oder offenlegen</w:t>
      </w:r>
    </w:p>
    <w:p w14:paraId="3CFB1F53" w14:textId="1F0FE482" w:rsidR="00C935D8" w:rsidRDefault="00F53B2D" w:rsidP="00DC3799">
      <w:pPr>
        <w:pStyle w:val="Listenabsatz"/>
        <w:numPr>
          <w:ilvl w:val="0"/>
          <w:numId w:val="5"/>
        </w:numPr>
        <w:ind w:left="567" w:hanging="567"/>
      </w:pPr>
      <w:r>
        <w:t>Nach Ablauf der Zeit alle Prüflinge auffordern, die elektronische Prüfung abzuschließen (ABSENDEN-Button).</w:t>
      </w:r>
    </w:p>
    <w:p w14:paraId="7788E46A" w14:textId="7531A360" w:rsidR="00F53B2D" w:rsidRPr="00CF51F0" w:rsidRDefault="003711BA" w:rsidP="00DC3799">
      <w:pPr>
        <w:pStyle w:val="Listenabsatz"/>
        <w:numPr>
          <w:ilvl w:val="0"/>
          <w:numId w:val="5"/>
        </w:numPr>
        <w:ind w:left="567" w:hanging="567"/>
      </w:pPr>
      <w:r>
        <w:t xml:space="preserve">Unterschriftenliste und Protokollblatt einscannen und per Email an </w:t>
      </w:r>
      <w:hyperlink r:id="rId20" w:history="1">
        <w:r w:rsidRPr="00E3203B">
          <w:rPr>
            <w:rStyle w:val="Hyperlink"/>
          </w:rPr>
          <w:t>certification@accessibilityassociation.org</w:t>
        </w:r>
      </w:hyperlink>
      <w:r>
        <w:t xml:space="preserve"> senden.</w:t>
      </w:r>
    </w:p>
    <w:p w14:paraId="0D8B8B52" w14:textId="1B4F5AD9" w:rsidR="003352C8" w:rsidRPr="003352C8" w:rsidRDefault="003352C8" w:rsidP="00AA493B">
      <w:pPr>
        <w:pStyle w:val="berschrift2"/>
      </w:pPr>
      <w:r w:rsidRPr="003352C8">
        <w:t>Schlusswort</w:t>
      </w:r>
    </w:p>
    <w:p w14:paraId="59FD3B85" w14:textId="59D8551F" w:rsidR="00506835" w:rsidRPr="00506835" w:rsidRDefault="00506835" w:rsidP="00271DAC">
      <w:r w:rsidRPr="00506835">
        <w:t>Danke, dass Sie Ihre Zeit und Ihre Räume für die berufliche Qualifizierung anderer Personen zur Verfügung stellen.  Sie leisten damit einen wichtigen Beitrag zu mehr digitaler Barrierefreiheit in unserer Gesellschaft.</w:t>
      </w:r>
    </w:p>
    <w:p w14:paraId="0D41DC5E" w14:textId="5328758D" w:rsidR="006513A3" w:rsidRPr="003352C8" w:rsidRDefault="00506835" w:rsidP="00271DAC">
      <w:pPr>
        <w:rPr>
          <w:b/>
        </w:rPr>
      </w:pPr>
      <w:r>
        <w:rPr>
          <w:b/>
        </w:rPr>
        <w:t>Und v</w:t>
      </w:r>
      <w:r w:rsidR="006513A3" w:rsidRPr="003352C8">
        <w:rPr>
          <w:b/>
        </w:rPr>
        <w:t xml:space="preserve">iel Erfolg bei der </w:t>
      </w:r>
      <w:r w:rsidR="003352C8" w:rsidRPr="003352C8">
        <w:rPr>
          <w:b/>
        </w:rPr>
        <w:t xml:space="preserve">Durchführung der </w:t>
      </w:r>
      <w:r w:rsidR="006513A3" w:rsidRPr="003352C8">
        <w:rPr>
          <w:b/>
        </w:rPr>
        <w:t>Prüfung!</w:t>
      </w:r>
    </w:p>
    <w:sectPr w:rsidR="006513A3" w:rsidRPr="003352C8">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3FA9" w14:textId="77777777" w:rsidR="007400DB" w:rsidRDefault="007400DB" w:rsidP="007400DB">
      <w:pPr>
        <w:spacing w:after="0" w:line="240" w:lineRule="auto"/>
      </w:pPr>
      <w:r>
        <w:separator/>
      </w:r>
    </w:p>
  </w:endnote>
  <w:endnote w:type="continuationSeparator" w:id="0">
    <w:p w14:paraId="2AA75455" w14:textId="77777777" w:rsidR="007400DB" w:rsidRDefault="007400DB" w:rsidP="0074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88EE" w14:textId="1602D67C" w:rsidR="007400DB" w:rsidRPr="007400DB" w:rsidRDefault="007400DB">
    <w:pPr>
      <w:pStyle w:val="Fuzeile"/>
      <w:rPr>
        <w:smallCaps/>
      </w:rPr>
    </w:pPr>
    <w:r w:rsidRPr="007400DB">
      <w:rPr>
        <w:smallCaps/>
      </w:rPr>
      <w:t>Kurzanleitung</w:t>
    </w:r>
    <w:r w:rsidR="00111DE9">
      <w:rPr>
        <w:smallCaps/>
      </w:rPr>
      <w:t xml:space="preserve"> </w:t>
    </w:r>
    <w:r w:rsidR="000C63FF">
      <w:rPr>
        <w:smallCaps/>
      </w:rPr>
      <w:t>Proctoring</w:t>
    </w:r>
    <w:r w:rsidRPr="007400DB">
      <w:rPr>
        <w:smallCaps/>
      </w:rPr>
      <w:tab/>
      <w:t xml:space="preserve">Version </w:t>
    </w:r>
    <w:r w:rsidR="000C63FF">
      <w:rPr>
        <w:smallCaps/>
      </w:rPr>
      <w:t>1</w:t>
    </w:r>
    <w:r w:rsidRPr="007400DB">
      <w:rPr>
        <w:smallCaps/>
      </w:rPr>
      <w:t xml:space="preserve"> </w:t>
    </w:r>
    <w:r w:rsidRPr="007400DB">
      <w:rPr>
        <w:smallCaps/>
      </w:rPr>
      <w:sym w:font="Wingdings" w:char="F09F"/>
    </w:r>
    <w:r w:rsidRPr="007400DB">
      <w:rPr>
        <w:smallCaps/>
      </w:rPr>
      <w:t xml:space="preserve"> </w:t>
    </w:r>
    <w:r w:rsidR="00111DE9">
      <w:rPr>
        <w:smallCaps/>
      </w:rPr>
      <w:t>CC-BY 4.0</w:t>
    </w:r>
    <w:r w:rsidRPr="007400DB">
      <w:rPr>
        <w:smallCaps/>
      </w:rPr>
      <w:tab/>
      <w:t xml:space="preserve">Seite </w:t>
    </w:r>
    <w:r w:rsidRPr="007400DB">
      <w:rPr>
        <w:smallCaps/>
      </w:rPr>
      <w:fldChar w:fldCharType="begin"/>
    </w:r>
    <w:r w:rsidRPr="007400DB">
      <w:rPr>
        <w:smallCaps/>
      </w:rPr>
      <w:instrText>PAGE   \* MERGEFORMAT</w:instrText>
    </w:r>
    <w:r w:rsidRPr="007400DB">
      <w:rPr>
        <w:smallCaps/>
      </w:rPr>
      <w:fldChar w:fldCharType="separate"/>
    </w:r>
    <w:r w:rsidRPr="007400DB">
      <w:rPr>
        <w:smallCaps/>
      </w:rPr>
      <w:t>1</w:t>
    </w:r>
    <w:r w:rsidRPr="007400DB">
      <w:rPr>
        <w:small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72E3" w14:textId="77777777" w:rsidR="007400DB" w:rsidRDefault="007400DB" w:rsidP="007400DB">
      <w:pPr>
        <w:spacing w:after="0" w:line="240" w:lineRule="auto"/>
      </w:pPr>
      <w:r>
        <w:separator/>
      </w:r>
    </w:p>
  </w:footnote>
  <w:footnote w:type="continuationSeparator" w:id="0">
    <w:p w14:paraId="46EF4D12" w14:textId="77777777" w:rsidR="007400DB" w:rsidRDefault="007400DB" w:rsidP="00740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6D02"/>
    <w:multiLevelType w:val="hybridMultilevel"/>
    <w:tmpl w:val="F5148A78"/>
    <w:lvl w:ilvl="0" w:tplc="04070015">
      <w:start w:val="1"/>
      <w:numFmt w:val="decimal"/>
      <w:lvlText w:val="(%1)"/>
      <w:lvlJc w:val="left"/>
      <w:pPr>
        <w:ind w:left="360" w:hanging="360"/>
      </w:pPr>
      <w:rPr>
        <w:rFonts w:hint="default"/>
      </w:rPr>
    </w:lvl>
    <w:lvl w:ilvl="1" w:tplc="04070017">
      <w:start w:val="1"/>
      <w:numFmt w:val="lowerLetter"/>
      <w:lvlText w:val="%2)"/>
      <w:lvlJc w:val="left"/>
      <w:pPr>
        <w:ind w:left="72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DD84B9B"/>
    <w:multiLevelType w:val="hybridMultilevel"/>
    <w:tmpl w:val="86E0E11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260EAB"/>
    <w:multiLevelType w:val="hybridMultilevel"/>
    <w:tmpl w:val="4FCCC6D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325AF3"/>
    <w:multiLevelType w:val="hybridMultilevel"/>
    <w:tmpl w:val="D94A7D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BFF0327"/>
    <w:multiLevelType w:val="hybridMultilevel"/>
    <w:tmpl w:val="2C2AB6B2"/>
    <w:lvl w:ilvl="0" w:tplc="5566BBB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0137073">
    <w:abstractNumId w:val="3"/>
  </w:num>
  <w:num w:numId="2" w16cid:durableId="1298297887">
    <w:abstractNumId w:val="2"/>
  </w:num>
  <w:num w:numId="3" w16cid:durableId="352265368">
    <w:abstractNumId w:val="1"/>
  </w:num>
  <w:num w:numId="4" w16cid:durableId="1944534295">
    <w:abstractNumId w:val="4"/>
  </w:num>
  <w:num w:numId="5" w16cid:durableId="38326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E7"/>
    <w:rsid w:val="00034BBC"/>
    <w:rsid w:val="0005307E"/>
    <w:rsid w:val="000B1AAE"/>
    <w:rsid w:val="000C63FF"/>
    <w:rsid w:val="00111DE9"/>
    <w:rsid w:val="001269F4"/>
    <w:rsid w:val="00135B58"/>
    <w:rsid w:val="0015351C"/>
    <w:rsid w:val="001831E8"/>
    <w:rsid w:val="001C4B2C"/>
    <w:rsid w:val="00210305"/>
    <w:rsid w:val="00256F03"/>
    <w:rsid w:val="00260271"/>
    <w:rsid w:val="00267E15"/>
    <w:rsid w:val="00271DAC"/>
    <w:rsid w:val="002F32A4"/>
    <w:rsid w:val="00305E37"/>
    <w:rsid w:val="00326A3B"/>
    <w:rsid w:val="003352C8"/>
    <w:rsid w:val="003711BA"/>
    <w:rsid w:val="003A6EB7"/>
    <w:rsid w:val="003A70E0"/>
    <w:rsid w:val="003B1451"/>
    <w:rsid w:val="003C0C2F"/>
    <w:rsid w:val="003D4AC8"/>
    <w:rsid w:val="003E5A57"/>
    <w:rsid w:val="00432D1D"/>
    <w:rsid w:val="00497C20"/>
    <w:rsid w:val="004D7E87"/>
    <w:rsid w:val="00506835"/>
    <w:rsid w:val="00557568"/>
    <w:rsid w:val="00562627"/>
    <w:rsid w:val="005C44DE"/>
    <w:rsid w:val="005D2502"/>
    <w:rsid w:val="00605344"/>
    <w:rsid w:val="00623853"/>
    <w:rsid w:val="00640741"/>
    <w:rsid w:val="006513A3"/>
    <w:rsid w:val="006E0C93"/>
    <w:rsid w:val="0070210E"/>
    <w:rsid w:val="00726F83"/>
    <w:rsid w:val="007400DB"/>
    <w:rsid w:val="007454A6"/>
    <w:rsid w:val="007B4024"/>
    <w:rsid w:val="007D359A"/>
    <w:rsid w:val="007E427D"/>
    <w:rsid w:val="00875249"/>
    <w:rsid w:val="00882300"/>
    <w:rsid w:val="00883AB2"/>
    <w:rsid w:val="008A63C5"/>
    <w:rsid w:val="008B0BDA"/>
    <w:rsid w:val="008C1893"/>
    <w:rsid w:val="008F0A93"/>
    <w:rsid w:val="00910D15"/>
    <w:rsid w:val="009401AE"/>
    <w:rsid w:val="00966216"/>
    <w:rsid w:val="009B620D"/>
    <w:rsid w:val="009E2AF8"/>
    <w:rsid w:val="009F3CC6"/>
    <w:rsid w:val="00A254CB"/>
    <w:rsid w:val="00A51CB7"/>
    <w:rsid w:val="00A77147"/>
    <w:rsid w:val="00A90D56"/>
    <w:rsid w:val="00AA493B"/>
    <w:rsid w:val="00B047AA"/>
    <w:rsid w:val="00B50CEB"/>
    <w:rsid w:val="00BA6343"/>
    <w:rsid w:val="00BC31DB"/>
    <w:rsid w:val="00C034E7"/>
    <w:rsid w:val="00C143C8"/>
    <w:rsid w:val="00C935D8"/>
    <w:rsid w:val="00CA4BDA"/>
    <w:rsid w:val="00CC0F2D"/>
    <w:rsid w:val="00CC3A2E"/>
    <w:rsid w:val="00CF51F0"/>
    <w:rsid w:val="00D45394"/>
    <w:rsid w:val="00D977E1"/>
    <w:rsid w:val="00DC3799"/>
    <w:rsid w:val="00E04BE6"/>
    <w:rsid w:val="00E4459A"/>
    <w:rsid w:val="00E6086D"/>
    <w:rsid w:val="00EB7DB8"/>
    <w:rsid w:val="00EE143E"/>
    <w:rsid w:val="00F53B2D"/>
    <w:rsid w:val="00F603D7"/>
    <w:rsid w:val="00F8554D"/>
    <w:rsid w:val="00F92433"/>
    <w:rsid w:val="00FB01D7"/>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D4EE5C"/>
  <w15:chartTrackingRefBased/>
  <w15:docId w15:val="{F5007A91-D565-4849-815B-4180A21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de-DE"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1CB7"/>
    <w:pPr>
      <w:spacing w:line="288" w:lineRule="auto"/>
    </w:pPr>
    <w:rPr>
      <w:rFonts w:ascii="Verdana" w:hAnsi="Verdana"/>
    </w:rPr>
  </w:style>
  <w:style w:type="paragraph" w:styleId="berschrift1">
    <w:name w:val="heading 1"/>
    <w:basedOn w:val="Standard"/>
    <w:next w:val="Standard"/>
    <w:link w:val="berschrift1Zchn"/>
    <w:uiPriority w:val="9"/>
    <w:qFormat/>
    <w:rsid w:val="00AA493B"/>
    <w:pPr>
      <w:keepNext/>
      <w:keepLines/>
      <w:spacing w:before="240" w:after="240"/>
      <w:outlineLvl w:val="0"/>
    </w:pPr>
    <w:rPr>
      <w:rFonts w:eastAsiaTheme="majorEastAsia" w:cstheme="majorBidi"/>
      <w:color w:val="2F5496" w:themeColor="accent1" w:themeShade="BF"/>
      <w:sz w:val="32"/>
      <w:szCs w:val="40"/>
    </w:rPr>
  </w:style>
  <w:style w:type="paragraph" w:styleId="berschrift2">
    <w:name w:val="heading 2"/>
    <w:basedOn w:val="Standard"/>
    <w:next w:val="Standard"/>
    <w:link w:val="berschrift2Zchn"/>
    <w:uiPriority w:val="9"/>
    <w:unhideWhenUsed/>
    <w:qFormat/>
    <w:rsid w:val="00AA493B"/>
    <w:pPr>
      <w:keepNext/>
      <w:keepLines/>
      <w:spacing w:before="240" w:after="120"/>
      <w:outlineLvl w:val="1"/>
    </w:pPr>
    <w:rPr>
      <w:rFonts w:eastAsiaTheme="majorEastAsia" w:cstheme="majorBidi"/>
      <w:color w:val="2F5496" w:themeColor="accent1" w:themeShade="BF"/>
      <w:sz w:val="26"/>
      <w:szCs w:val="3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493B"/>
    <w:rPr>
      <w:rFonts w:ascii="Verdana" w:eastAsiaTheme="majorEastAsia" w:hAnsi="Verdana" w:cstheme="majorBidi"/>
      <w:color w:val="2F5496" w:themeColor="accent1" w:themeShade="BF"/>
      <w:sz w:val="32"/>
      <w:szCs w:val="40"/>
    </w:rPr>
  </w:style>
  <w:style w:type="character" w:customStyle="1" w:styleId="berschrift2Zchn">
    <w:name w:val="Überschrift 2 Zchn"/>
    <w:basedOn w:val="Absatz-Standardschriftart"/>
    <w:link w:val="berschrift2"/>
    <w:uiPriority w:val="9"/>
    <w:rsid w:val="00AA493B"/>
    <w:rPr>
      <w:rFonts w:ascii="Verdana" w:eastAsiaTheme="majorEastAsia" w:hAnsi="Verdana" w:cstheme="majorBidi"/>
      <w:color w:val="2F5496" w:themeColor="accent1" w:themeShade="BF"/>
      <w:sz w:val="26"/>
      <w:szCs w:val="33"/>
    </w:rPr>
  </w:style>
  <w:style w:type="character" w:styleId="Hyperlink">
    <w:name w:val="Hyperlink"/>
    <w:basedOn w:val="Absatz-Standardschriftart"/>
    <w:uiPriority w:val="99"/>
    <w:unhideWhenUsed/>
    <w:rsid w:val="00C034E7"/>
    <w:rPr>
      <w:color w:val="0563C1" w:themeColor="hyperlink"/>
      <w:u w:val="single"/>
    </w:rPr>
  </w:style>
  <w:style w:type="character" w:styleId="NichtaufgelsteErwhnung">
    <w:name w:val="Unresolved Mention"/>
    <w:basedOn w:val="Absatz-Standardschriftart"/>
    <w:uiPriority w:val="99"/>
    <w:semiHidden/>
    <w:unhideWhenUsed/>
    <w:rsid w:val="00C034E7"/>
    <w:rPr>
      <w:color w:val="605E5C"/>
      <w:shd w:val="clear" w:color="auto" w:fill="E1DFDD"/>
    </w:rPr>
  </w:style>
  <w:style w:type="paragraph" w:styleId="Listenabsatz">
    <w:name w:val="List Paragraph"/>
    <w:basedOn w:val="Standard"/>
    <w:uiPriority w:val="34"/>
    <w:qFormat/>
    <w:rsid w:val="00A254CB"/>
    <w:pPr>
      <w:ind w:left="720"/>
      <w:contextualSpacing/>
    </w:pPr>
  </w:style>
  <w:style w:type="character" w:styleId="BesuchterLink">
    <w:name w:val="FollowedHyperlink"/>
    <w:basedOn w:val="Absatz-Standardschriftart"/>
    <w:uiPriority w:val="99"/>
    <w:semiHidden/>
    <w:unhideWhenUsed/>
    <w:rsid w:val="00623853"/>
    <w:rPr>
      <w:color w:val="954F72" w:themeColor="followedHyperlink"/>
      <w:u w:val="single"/>
    </w:rPr>
  </w:style>
  <w:style w:type="paragraph" w:styleId="Kopfzeile">
    <w:name w:val="header"/>
    <w:basedOn w:val="Standard"/>
    <w:link w:val="KopfzeileZchn"/>
    <w:uiPriority w:val="99"/>
    <w:unhideWhenUsed/>
    <w:rsid w:val="007400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00DB"/>
  </w:style>
  <w:style w:type="paragraph" w:styleId="Fuzeile">
    <w:name w:val="footer"/>
    <w:basedOn w:val="Standard"/>
    <w:link w:val="FuzeileZchn"/>
    <w:uiPriority w:val="99"/>
    <w:unhideWhenUsed/>
    <w:rsid w:val="007400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3005">
      <w:bodyDiv w:val="1"/>
      <w:marLeft w:val="0"/>
      <w:marRight w:val="0"/>
      <w:marTop w:val="0"/>
      <w:marBottom w:val="0"/>
      <w:divBdr>
        <w:top w:val="none" w:sz="0" w:space="0" w:color="auto"/>
        <w:left w:val="none" w:sz="0" w:space="0" w:color="auto"/>
        <w:bottom w:val="none" w:sz="0" w:space="0" w:color="auto"/>
        <w:right w:val="none" w:sz="0" w:space="0" w:color="auto"/>
      </w:divBdr>
    </w:div>
    <w:div w:id="556404971">
      <w:bodyDiv w:val="1"/>
      <w:marLeft w:val="0"/>
      <w:marRight w:val="0"/>
      <w:marTop w:val="0"/>
      <w:marBottom w:val="0"/>
      <w:divBdr>
        <w:top w:val="none" w:sz="0" w:space="0" w:color="auto"/>
        <w:left w:val="none" w:sz="0" w:space="0" w:color="auto"/>
        <w:bottom w:val="none" w:sz="0" w:space="0" w:color="auto"/>
        <w:right w:val="none" w:sz="0" w:space="0" w:color="auto"/>
      </w:divBdr>
    </w:div>
    <w:div w:id="1102919487">
      <w:bodyDiv w:val="1"/>
      <w:marLeft w:val="0"/>
      <w:marRight w:val="0"/>
      <w:marTop w:val="0"/>
      <w:marBottom w:val="0"/>
      <w:divBdr>
        <w:top w:val="none" w:sz="0" w:space="0" w:color="auto"/>
        <w:left w:val="none" w:sz="0" w:space="0" w:color="auto"/>
        <w:bottom w:val="none" w:sz="0" w:space="0" w:color="auto"/>
        <w:right w:val="none" w:sz="0" w:space="0" w:color="auto"/>
      </w:divBdr>
    </w:div>
    <w:div w:id="1125200268">
      <w:bodyDiv w:val="1"/>
      <w:marLeft w:val="0"/>
      <w:marRight w:val="0"/>
      <w:marTop w:val="0"/>
      <w:marBottom w:val="0"/>
      <w:divBdr>
        <w:top w:val="none" w:sz="0" w:space="0" w:color="auto"/>
        <w:left w:val="none" w:sz="0" w:space="0" w:color="auto"/>
        <w:bottom w:val="none" w:sz="0" w:space="0" w:color="auto"/>
        <w:right w:val="none" w:sz="0" w:space="0" w:color="auto"/>
      </w:divBdr>
    </w:div>
    <w:div w:id="1542597941">
      <w:bodyDiv w:val="1"/>
      <w:marLeft w:val="0"/>
      <w:marRight w:val="0"/>
      <w:marTop w:val="0"/>
      <w:marBottom w:val="0"/>
      <w:divBdr>
        <w:top w:val="none" w:sz="0" w:space="0" w:color="auto"/>
        <w:left w:val="none" w:sz="0" w:space="0" w:color="auto"/>
        <w:bottom w:val="none" w:sz="0" w:space="0" w:color="auto"/>
        <w:right w:val="none" w:sz="0" w:space="0" w:color="auto"/>
      </w:divBdr>
    </w:div>
    <w:div w:id="1545561885">
      <w:bodyDiv w:val="1"/>
      <w:marLeft w:val="0"/>
      <w:marRight w:val="0"/>
      <w:marTop w:val="0"/>
      <w:marBottom w:val="0"/>
      <w:divBdr>
        <w:top w:val="none" w:sz="0" w:space="0" w:color="auto"/>
        <w:left w:val="none" w:sz="0" w:space="0" w:color="auto"/>
        <w:bottom w:val="none" w:sz="0" w:space="0" w:color="auto"/>
        <w:right w:val="none" w:sz="0" w:space="0" w:color="auto"/>
      </w:divBdr>
    </w:div>
    <w:div w:id="170801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ibilityassociation.org/s/locations-and-options" TargetMode="External"/><Relationship Id="rId13" Type="http://schemas.openxmlformats.org/officeDocument/2006/relationships/hyperlink" Target="mailto:gzimmermann@hdm-stuttgart.de" TargetMode="External"/><Relationship Id="rId18" Type="http://schemas.openxmlformats.org/officeDocument/2006/relationships/hyperlink" Target="mailto:kontakt@iaap-dach.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accessibilityassociation.org/s/locations-and-options" TargetMode="External"/><Relationship Id="rId12" Type="http://schemas.openxmlformats.org/officeDocument/2006/relationships/hyperlink" Target="https://www.accessibilityassociation.org/s/locations-and-options" TargetMode="External"/><Relationship Id="rId17" Type="http://schemas.openxmlformats.org/officeDocument/2006/relationships/hyperlink" Target="https://www.accessibilityassociation.org/s/certification-apply" TargetMode="External"/><Relationship Id="rId2" Type="http://schemas.openxmlformats.org/officeDocument/2006/relationships/styles" Target="styles.xml"/><Relationship Id="rId16" Type="http://schemas.openxmlformats.org/officeDocument/2006/relationships/hyperlink" Target="https://www.accessibilityassociation.org/s/contact-us" TargetMode="External"/><Relationship Id="rId20" Type="http://schemas.openxmlformats.org/officeDocument/2006/relationships/hyperlink" Target="mailto:certification@accessibilityassociatio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essibilityassociation.org/s/locations-and-options" TargetMode="External"/><Relationship Id="rId5" Type="http://schemas.openxmlformats.org/officeDocument/2006/relationships/footnotes" Target="footnotes.xml"/><Relationship Id="rId15" Type="http://schemas.openxmlformats.org/officeDocument/2006/relationships/hyperlink" Target="https://www.accessibilityassociation.org/s/host-an-exam-at-your-facility" TargetMode="External"/><Relationship Id="rId23" Type="http://schemas.openxmlformats.org/officeDocument/2006/relationships/theme" Target="theme/theme1.xml"/><Relationship Id="rId10" Type="http://schemas.openxmlformats.org/officeDocument/2006/relationships/hyperlink" Target="https://www.kryterion.com/locate-test-center/" TargetMode="External"/><Relationship Id="rId19" Type="http://schemas.openxmlformats.org/officeDocument/2006/relationships/hyperlink" Target="https://www.accessibilityassociation.org/resource/IAAP2023ProctorGuide" TargetMode="External"/><Relationship Id="rId4" Type="http://schemas.openxmlformats.org/officeDocument/2006/relationships/webSettings" Target="webSettings.xml"/><Relationship Id="rId9" Type="http://schemas.openxmlformats.org/officeDocument/2006/relationships/hyperlink" Target="https://www.accessibilityassociation.org/s/locations-and-options" TargetMode="External"/><Relationship Id="rId14" Type="http://schemas.openxmlformats.org/officeDocument/2006/relationships/hyperlink" Target="https://creativecommons.org/licenses/by/4.0/deed.de"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6368</Characters>
  <Application>Microsoft Office Word</Application>
  <DocSecurity>0</DocSecurity>
  <Lines>134</Lines>
  <Paragraphs>66</Paragraphs>
  <ScaleCrop>false</ScaleCrop>
  <HeadingPairs>
    <vt:vector size="2" baseType="variant">
      <vt:variant>
        <vt:lpstr>Titel</vt:lpstr>
      </vt:variant>
      <vt:variant>
        <vt:i4>1</vt:i4>
      </vt:variant>
    </vt:vector>
  </HeadingPairs>
  <TitlesOfParts>
    <vt:vector size="1" baseType="lpstr">
      <vt:lpstr>Anleitung für die Anmeldung einer deutschen CPACC-Zertifikatsprüfung</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zum Proctoring</dc:title>
  <dc:subject/>
  <dc:creator>Gottfried Zimmermann</dc:creator>
  <cp:keywords>IAAP, Zertifikatsprüfung</cp:keywords>
  <dc:description/>
  <cp:lastModifiedBy>Gottfried Zimmermann</cp:lastModifiedBy>
  <cp:revision>66</cp:revision>
  <cp:lastPrinted>2024-02-19T08:33:00Z</cp:lastPrinted>
  <dcterms:created xsi:type="dcterms:W3CDTF">2023-07-10T18:57:00Z</dcterms:created>
  <dcterms:modified xsi:type="dcterms:W3CDTF">2024-02-19T08:37:00Z</dcterms:modified>
</cp:coreProperties>
</file>